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Implementadores (3 Días)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Myriam Pérez  (MP)
                <w:br/>
                Carla Suarez (CS)
                <w:br/>
                Felipe Gonzales (FG)
                <w:br/>
                Luis Novoa  (LN)
                <w:br/>
                Tamia Rodriguez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25 horas en 3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10:15am</w:t>
            </w:r>
          </w:p>
        </w:tc>
        <w:tc>
          <w:tcPr>
            <w:tcW w:w="3685" w:type="dxa"/>
          </w:tcPr>
          <w:p w:rsidR="00225892" w:rsidRPr="00746199" w:rsidRDefault="00225892" w:rsidP="000C50EB">
            <w:pPr>
              <w:rPr>
                <w:b/>
              </w:rPr>
            </w:pPr>
            <w:r w:rsidRPr="00746199">
              <w:rPr>
                <w:b/>
              </w:rPr>
              <w:t>A2.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11:30am</w:t>
            </w:r>
          </w:p>
        </w:tc>
        <w:tc>
          <w:tcPr>
            <w:tcW w:w="3685" w:type="dxa"/>
          </w:tcPr>
          <w:p w:rsidR="00225892" w:rsidRPr="00746199" w:rsidRDefault="00225892" w:rsidP="000C50EB">
            <w:pPr>
              <w:rPr>
                <w:b/>
              </w:rPr>
            </w:pPr>
            <w:r w:rsidRPr="00746199">
              <w:rPr>
                <w:b/>
              </w:rPr>
              <w:t>Introducción sobre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11:30am – 12:00pm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2:00pm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2:00pm – 3:25pm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4:50pm</w:t>
            </w:r>
          </w:p>
        </w:tc>
        <w:tc>
          <w:tcPr>
            <w:tcW w:w="3685" w:type="dxa"/>
          </w:tcPr>
          <w:p w:rsidR="00225892" w:rsidRPr="00746199" w:rsidRDefault="00225892" w:rsidP="000C50EB">
            <w:pPr>
              <w:rPr>
                <w:b/>
              </w:rPr>
            </w:pPr>
            <w:r w:rsidRPr="00746199">
              <w:rPr>
                <w:b/>
              </w:rPr>
              <w:t>Charla: Límites constitucionales al uso de la fuerza,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Virtual Inicia con Video https://www.youtube.com/watch?v=RG4ELN85B2M minuto 7:41 al minuto 16. Sentencia sentencia 33-20-IN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4:50pm – 5:00pm</w:t>
            </w:r>
          </w:p>
        </w:tc>
        <w:tc>
          <w:tcPr>
            <w:tcW w:w="3685" w:type="dxa"/>
          </w:tcPr>
          <w:p w:rsidR="00225892" w:rsidRPr="00746199" w:rsidRDefault="00225892" w:rsidP="000C50EB">
            <w:pPr>
              <w:rPr>
                <w:b/>
              </w:rPr>
            </w:pPr>
            <w:r w:rsidRPr="00746199">
              <w:rPr>
                <w:b/>
              </w:rPr>
              <w:t>Cierre</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9:05am</w:t>
            </w:r>
          </w:p>
        </w:tc>
        <w:tc>
          <w:tcPr>
            <w:tcW w:w="3685" w:type="dxa"/>
          </w:tcPr>
          <w:p w:rsidR="00225892" w:rsidRPr="00746199" w:rsidRDefault="00225892" w:rsidP="000C50EB">
            <w:pPr>
              <w:rPr>
                <w:b/>
              </w:rPr>
            </w:pPr>
            <w:r w:rsidRPr="00746199">
              <w:rPr>
                <w:b/>
              </w:rPr>
              <w:t>Recapitulación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9:05am – 10:35am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10:35am – 11:05am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12:35pm</w:t>
            </w:r>
          </w:p>
        </w:tc>
        <w:tc>
          <w:tcPr>
            <w:tcW w:w="3685" w:type="dxa"/>
          </w:tcPr>
          <w:p w:rsidR="00225892" w:rsidRPr="00746199" w:rsidRDefault="00225892" w:rsidP="000C50EB">
            <w:pPr>
              <w:rPr>
                <w:b/>
              </w:rPr>
            </w:pPr>
            <w:r w:rsidRPr="00746199">
              <w:rPr>
                <w:b/>
              </w:rPr>
              <w:t>Charla: Consideraciones legales en el Uso de la Fuerza (COIP, COESCOP) Experto Diego Guarderas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1:35pm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1:35pm – 2:35pm</w:t>
            </w:r>
          </w:p>
        </w:tc>
        <w:tc>
          <w:tcPr>
            <w:tcW w:w="3685" w:type="dxa"/>
          </w:tcPr>
          <w:p w:rsidR="00225892" w:rsidRPr="00746199" w:rsidRDefault="00225892" w:rsidP="000C50EB">
            <w:pPr>
              <w:rPr>
                <w:b/>
              </w:rPr>
            </w:pPr>
            <w:r w:rsidRPr="00746199">
              <w:rPr>
                <w:b/>
              </w:rPr>
              <w:t>Charla: Estándares sobre medios para el empleo de la fuerza. Experto Felipe Gonzales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2:35pm – 4:05pm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4:05pm – 5:05pm</w:t>
            </w:r>
          </w:p>
        </w:tc>
        <w:tc>
          <w:tcPr>
            <w:tcW w:w="3685" w:type="dxa"/>
          </w:tcPr>
          <w:p w:rsidR="00225892" w:rsidRPr="00746199" w:rsidRDefault="00225892" w:rsidP="000C50EB">
            <w:pPr>
              <w:rPr>
                <w:b/>
              </w:rPr>
            </w:pPr>
            <w:r w:rsidRPr="00746199">
              <w:rPr>
                <w:b/>
              </w:rPr>
              <w:t>Ley Uso de la Fuerza Experto Diego Guarderas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Video Recapitulación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10:05am</w:t>
            </w:r>
          </w:p>
        </w:tc>
        <w:tc>
          <w:tcPr>
            <w:tcW w:w="3685" w:type="dxa"/>
          </w:tcPr>
          <w:p w:rsidR="00225892" w:rsidRPr="00746199" w:rsidRDefault="00225892" w:rsidP="000C50EB">
            <w:pPr>
              <w:rPr>
                <w:b/>
              </w:rPr>
            </w:pPr>
            <w:r w:rsidRPr="00746199">
              <w:rPr>
                <w:b/>
              </w:rPr>
              <w:t>A5. Café Inteligente</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 CP, MP</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10:05am – 11:35am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12:05pm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12:05pm – 1:05pm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2:25pm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2:25pm – 3:55pm</w:t>
            </w:r>
          </w:p>
        </w:tc>
        <w:tc>
          <w:tcPr>
            <w:tcW w:w="3685" w:type="dxa"/>
          </w:tcPr>
          <w:p w:rsidR="00225892" w:rsidRPr="00746199" w:rsidRDefault="00225892" w:rsidP="000C50EB">
            <w:pPr>
              <w:rPr>
                <w:b/>
              </w:rPr>
            </w:pPr>
            <w:r w:rsidRPr="00746199">
              <w:rPr>
                <w:b/>
              </w:rPr>
              <w:t>Actividad final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 Círculos de obligaciones del Estado
                <w:br/>
                • R3P.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 R3P</w:t>
      </w:r>
    </w:p>
    <w:p>
      <w:pPr>
        <w:widowControl w:val="on"/>
        <w:pBdr/>
      </w:pPr>
      <w:r>
        <w:rPr>
          <w:b/>
          <w:bCs/>
        </w:rPr>
        <w:t xml:space="preserve">Paso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Paso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Paso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Evaluación uso de la fuerza
                <w:br/>
                • R5.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Paso 1</w:t>
      </w:r>
      <w:r>
        <w:rPr/>
        <w:t xml:space="preserve">. Se divide el grupo en grupos de 3 a 4 personas, deben haber al menos 3 grupos. </w:t>
      </w:r>
    </w:p>
    <w:p w:rsidR="00A66EE4" w:rsidRPr="00746199" w:rsidRDefault="00A66EE4" w:rsidP="002D3517"/>
    <w:p>
      <w:pPr>
        <w:widowControl w:val="on"/>
        <w:pBdr/>
      </w:pPr>
      <w:r>
        <w:rPr>
          <w:b/>
          <w:bCs/>
        </w:rPr>
        <w:t xml:space="preserve">Paso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Paso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Paso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Paso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Paso 6</w:t>
      </w:r>
      <w:r>
        <w:rPr/>
        <w:t xml:space="preserve">. Permita que representen los roles por máximo 3 minutos.</w:t>
      </w:r>
    </w:p>
    <w:p w:rsidR="00A66EE4" w:rsidRPr="00746199" w:rsidRDefault="00A66EE4" w:rsidP="002D3517"/>
    <w:p>
      <w:pPr>
        <w:widowControl w:val="on"/>
        <w:pBdr/>
      </w:pPr>
      <w:r>
        <w:rPr>
          <w:b/>
          <w:bCs/>
        </w:rPr>
        <w:t xml:space="preserve">Paso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Paso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sobre uso de la fuerza para dinámica de grupos.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Café Inteligente</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
          Protesta social
          <w:br/>
          <w:br/>
          a.- ¿Creen que la protesta social es un asunto de orden público o el ejercicio de un derecho?
          <w:br/>
          <w:br/>
          b.- ¿Cuándo creen que una reunión deja de ser pacífica?
          <w:br/>
          <w:br/>
          c.- ¿Una manifestación no autorizada debe ser dispersada automáticamente?
          <w:br/>
          <w:br/>
          d.- ¿Qué tipo de armas menos letales utilizarían para la gestión de manifestaciones?
        </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Esta técnica permite discutir y obtener productos de un grupo grande, sobre temas/problemas/documentos etc que deban ser analizados y sistematizar las opiniones de forma ágil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 cierre,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40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50 mins
                <w:br/>
                • Reflexionar: 15 mins
                <w:br/>
                • Planificar para la acción: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papelografos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Ponga especial atención en las premisas que da a los grupos, ya sean preguntas o temas a discutir, a fin de obtener el resultado esperado.
                <w:br/>
                • Según la complejidad de la tarea, el numero de mesas y de participantes, se deberá definir el tiempo que podrá ser desde 5 minutos, no se recomienda que sea más de 20, ya que la idea es que puedan trabajar en todas las mesas.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Paso 1</w:t>
      </w:r>
      <w:r>
        <w:rPr/>
        <w:t xml:space="preserve">. Previo al Inicio de la actividad prepare los temas, documentos, imágenes o preguntas sobre los que necesite trabajar. Disponga el número de mesas que corresponda según lo anterior (4 temas, serían 4 mesas). En cada mesa coloque varios papelografos y marcadores.</w:t>
      </w:r>
    </w:p>
    <w:p w:rsidR="00A66EE4" w:rsidRPr="00746199" w:rsidRDefault="00A66EE4" w:rsidP="002D3517"/>
    <w:p>
      <w:pPr>
        <w:widowControl w:val="on"/>
        <w:pBdr/>
      </w:pPr>
      <w:r>
        <w:rPr>
          <w:b/>
          <w:bCs/>
        </w:rPr>
        <w:t xml:space="preserve">Paso 2</w:t>
      </w:r>
      <w:r>
        <w:rPr/>
        <w:t xml:space="preserve">. Solicite personas voluntarias para ser monitores/as en cada mesa, estas personas estarán fijas en cada tema asignado y ayudarán a anotar, sistematizar y resumir las discusiones.</w:t>
      </w:r>
    </w:p>
    <w:p w:rsidR="00A66EE4" w:rsidRPr="00746199" w:rsidRDefault="00A66EE4" w:rsidP="002D3517"/>
    <w:p>
      <w:pPr>
        <w:widowControl w:val="on"/>
        <w:pBdr/>
      </w:pPr>
      <w:r>
        <w:rPr>
          <w:b/>
          <w:bCs/>
        </w:rPr>
        <w:t xml:space="preserve">Paso 3</w:t>
      </w:r>
      <w:r>
        <w:rPr/>
        <w:t xml:space="preserve">. Conforme grupos de participantes según el numero de mesas dispuestas, no se recomienda que los grupos tengan más de 6 personas.</w:t>
      </w:r>
    </w:p>
    <w:p w:rsidR="00A66EE4" w:rsidRPr="00746199" w:rsidRDefault="00A66EE4" w:rsidP="002D3517"/>
    <w:p>
      <w:pPr>
        <w:widowControl w:val="on"/>
        <w:pBdr/>
      </w:pPr>
      <w:r>
        <w:rPr>
          <w:b/>
          <w:bCs/>
        </w:rPr>
        <w:t xml:space="preserve">Paso 4</w:t>
      </w:r>
      <w:r>
        <w:rPr/>
        <w:t xml:space="preserve">. Solicite a cada grupo situarse en una mesa, deberán discutir sobre el tema, pregunta, imagen, documento etc, planteado y anotar lo más importante. Cada grupo tendrá un tiempo determinado en cada mesa, transcurrido el cual deberán rotar a otra mesa. </w:t>
      </w:r>
    </w:p>
    <w:p w:rsidR="00A66EE4" w:rsidRPr="00746199" w:rsidRDefault="00A66EE4" w:rsidP="002D3517"/>
    <w:p>
      <w:pPr>
        <w:widowControl w:val="on"/>
        <w:pBdr/>
      </w:pPr>
      <w:r>
        <w:rPr>
          <w:b/>
          <w:bCs/>
        </w:rPr>
        <w:t xml:space="preserve">Paso 5</w:t>
      </w:r>
      <w:r>
        <w:rPr/>
        <w:t xml:space="preserve">. Una vez transcurrido el tiempo solicite a los grupos pasar a otra mesa y realizar la actividad correspondiente, recuerde que los y las monitoras no rotan.</w:t>
      </w:r>
    </w:p>
    <w:p w:rsidR="00A66EE4" w:rsidRPr="00746199" w:rsidRDefault="00A66EE4" w:rsidP="002D3517"/>
    <w:p>
      <w:pPr>
        <w:widowControl w:val="on"/>
        <w:pBdr/>
      </w:pPr>
      <w:r>
        <w:rPr>
          <w:b/>
          <w:bCs/>
        </w:rPr>
        <w:t xml:space="preserve">Paso 6</w:t>
      </w:r>
      <w:r>
        <w:rPr/>
        <w:t xml:space="preserve">. Cuando todos los grupos hayan pasado por todas las mesas solicite a los y las monitoras que expongan cada tema.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7</w:t>
      </w:r>
      <w:r>
        <w:rPr/>
        <w:t xml:space="preserve">. Para animar la reflexión realice preguntas relativas a los temas concretos y también solicite a la persona monitora le comente sobre la dinámica en su mesa, si los grupos tenian respuestas y discusiones diferentes o similares, que le pareció lo más importante, con que se quedaría de las discusiones.</w:t>
      </w:r>
    </w:p>
    <w:p w:rsidR="00A66EE4" w:rsidRPr="00746199" w:rsidRDefault="00A66EE4" w:rsidP="002D3517"/>
    <w:p>
      <w:pPr>
        <w:widowControl w:val="on"/>
        <w:pBdr/>
      </w:pPr>
      <w:r>
        <w:rPr>
          <w:b/>
          <w:bCs/>
        </w:rPr>
        <w:t xml:space="preserve">Paso 8</w:t>
      </w:r>
      <w:r>
        <w:rPr/>
        <w:t xml:space="preserve">. Pregunte al grupo en general como se sintieron con la actividad, si creen que lo expuesto refleja la discusión que mantuvieron a lo largo de las mesas.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Paso 9</w:t>
      </w:r>
      <w:r>
        <w:rPr/>
        <w:t xml:space="preserve">. Al tratarse de una técnica que nos ayuda a recoger opiniones e ideas es importante realizar un cierre en el que se incluya el para que va a servirle a los y las participantes y/o a quien organiza la actividad todo lo planteado.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Facilitario</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http://facilitar.io/es/taller/uso-fuerza-para-implementadores-3-dias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